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9DB7" w14:textId="77777777" w:rsidR="00987B9C" w:rsidRDefault="00987B9C" w:rsidP="00EB7DB1">
      <w:pPr>
        <w:spacing w:line="480" w:lineRule="auto"/>
        <w:ind w:firstLine="720"/>
        <w:rPr>
          <w:rFonts w:ascii="Times New Roman" w:hAnsi="Times New Roman" w:cs="Times New Roman"/>
          <w:sz w:val="24"/>
          <w:szCs w:val="24"/>
        </w:rPr>
      </w:pPr>
    </w:p>
    <w:p w14:paraId="1898B279" w14:textId="77777777" w:rsidR="00987B9C" w:rsidRDefault="00987B9C" w:rsidP="00EB7DB1">
      <w:pPr>
        <w:spacing w:line="480" w:lineRule="auto"/>
        <w:ind w:firstLine="720"/>
        <w:rPr>
          <w:rFonts w:ascii="Times New Roman" w:hAnsi="Times New Roman" w:cs="Times New Roman"/>
          <w:sz w:val="24"/>
          <w:szCs w:val="24"/>
        </w:rPr>
      </w:pPr>
    </w:p>
    <w:p w14:paraId="6539A49B" w14:textId="77777777" w:rsidR="00987B9C" w:rsidRDefault="00987B9C" w:rsidP="00987B9C">
      <w:pPr>
        <w:spacing w:line="480" w:lineRule="auto"/>
        <w:ind w:firstLine="720"/>
        <w:jc w:val="center"/>
        <w:rPr>
          <w:rFonts w:ascii="Times New Roman" w:hAnsi="Times New Roman" w:cs="Times New Roman"/>
          <w:b/>
          <w:bCs/>
          <w:sz w:val="24"/>
          <w:szCs w:val="24"/>
        </w:rPr>
      </w:pPr>
    </w:p>
    <w:p w14:paraId="3852F645" w14:textId="77777777" w:rsidR="00987B9C" w:rsidRDefault="00987B9C" w:rsidP="00987B9C">
      <w:pPr>
        <w:spacing w:line="480" w:lineRule="auto"/>
        <w:ind w:firstLine="720"/>
        <w:jc w:val="center"/>
        <w:rPr>
          <w:rFonts w:ascii="Times New Roman" w:hAnsi="Times New Roman" w:cs="Times New Roman"/>
          <w:b/>
          <w:bCs/>
          <w:sz w:val="24"/>
          <w:szCs w:val="24"/>
        </w:rPr>
      </w:pPr>
    </w:p>
    <w:p w14:paraId="62E55556" w14:textId="77777777" w:rsidR="00987B9C" w:rsidRDefault="00987B9C" w:rsidP="00987B9C">
      <w:pPr>
        <w:spacing w:line="480" w:lineRule="auto"/>
        <w:ind w:firstLine="720"/>
        <w:jc w:val="center"/>
        <w:rPr>
          <w:rFonts w:ascii="Times New Roman" w:hAnsi="Times New Roman" w:cs="Times New Roman"/>
          <w:b/>
          <w:bCs/>
          <w:sz w:val="24"/>
          <w:szCs w:val="24"/>
        </w:rPr>
      </w:pPr>
    </w:p>
    <w:p w14:paraId="285F053F" w14:textId="77777777" w:rsidR="00987B9C" w:rsidRDefault="00987B9C" w:rsidP="00987B9C">
      <w:pPr>
        <w:spacing w:line="480" w:lineRule="auto"/>
        <w:ind w:firstLine="720"/>
        <w:jc w:val="center"/>
        <w:rPr>
          <w:rFonts w:ascii="Times New Roman" w:hAnsi="Times New Roman" w:cs="Times New Roman"/>
          <w:b/>
          <w:bCs/>
          <w:sz w:val="24"/>
          <w:szCs w:val="24"/>
        </w:rPr>
      </w:pPr>
    </w:p>
    <w:p w14:paraId="641121EA" w14:textId="1307AC05" w:rsidR="00987B9C" w:rsidRPr="00987B9C" w:rsidRDefault="00987B9C" w:rsidP="00987B9C">
      <w:pPr>
        <w:spacing w:line="480" w:lineRule="auto"/>
        <w:ind w:firstLine="720"/>
        <w:jc w:val="center"/>
        <w:rPr>
          <w:rFonts w:ascii="Times New Roman" w:hAnsi="Times New Roman" w:cs="Times New Roman"/>
          <w:b/>
          <w:bCs/>
          <w:sz w:val="24"/>
          <w:szCs w:val="24"/>
        </w:rPr>
      </w:pPr>
      <w:r w:rsidRPr="00987B9C">
        <w:rPr>
          <w:rFonts w:ascii="Times New Roman" w:hAnsi="Times New Roman" w:cs="Times New Roman"/>
          <w:b/>
          <w:bCs/>
          <w:sz w:val="24"/>
          <w:szCs w:val="24"/>
        </w:rPr>
        <w:t>Sexual Harassment Case Study</w:t>
      </w:r>
    </w:p>
    <w:p w14:paraId="3642CA26" w14:textId="5410C33F" w:rsidR="00987B9C" w:rsidRDefault="00987B9C" w:rsidP="00987B9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14:paraId="07818000" w14:textId="78CA7D38" w:rsidR="00987B9C" w:rsidRDefault="00987B9C" w:rsidP="00987B9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14:paraId="4ABE8C7D" w14:textId="75B89385" w:rsidR="00987B9C" w:rsidRDefault="00987B9C" w:rsidP="00987B9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14:paraId="70E181D1" w14:textId="77777777" w:rsidR="00987B9C" w:rsidRDefault="00987B9C" w:rsidP="00EB7DB1">
      <w:pPr>
        <w:spacing w:line="480" w:lineRule="auto"/>
        <w:ind w:firstLine="720"/>
        <w:rPr>
          <w:rFonts w:ascii="Times New Roman" w:hAnsi="Times New Roman" w:cs="Times New Roman"/>
          <w:sz w:val="24"/>
          <w:szCs w:val="24"/>
        </w:rPr>
      </w:pPr>
    </w:p>
    <w:p w14:paraId="68BD1AE6" w14:textId="77777777" w:rsidR="00987B9C" w:rsidRDefault="00987B9C" w:rsidP="00EB7DB1">
      <w:pPr>
        <w:spacing w:line="480" w:lineRule="auto"/>
        <w:ind w:firstLine="720"/>
        <w:rPr>
          <w:rFonts w:ascii="Times New Roman" w:hAnsi="Times New Roman" w:cs="Times New Roman"/>
          <w:sz w:val="24"/>
          <w:szCs w:val="24"/>
        </w:rPr>
      </w:pPr>
    </w:p>
    <w:p w14:paraId="7513570B" w14:textId="77777777" w:rsidR="00987B9C" w:rsidRDefault="00987B9C" w:rsidP="00EB7DB1">
      <w:pPr>
        <w:spacing w:line="480" w:lineRule="auto"/>
        <w:ind w:firstLine="720"/>
        <w:rPr>
          <w:rFonts w:ascii="Times New Roman" w:hAnsi="Times New Roman" w:cs="Times New Roman"/>
          <w:sz w:val="24"/>
          <w:szCs w:val="24"/>
        </w:rPr>
      </w:pPr>
    </w:p>
    <w:p w14:paraId="343C43E7" w14:textId="77777777" w:rsidR="00987B9C" w:rsidRDefault="00987B9C" w:rsidP="00EB7DB1">
      <w:pPr>
        <w:spacing w:line="480" w:lineRule="auto"/>
        <w:ind w:firstLine="720"/>
        <w:rPr>
          <w:rFonts w:ascii="Times New Roman" w:hAnsi="Times New Roman" w:cs="Times New Roman"/>
          <w:sz w:val="24"/>
          <w:szCs w:val="24"/>
        </w:rPr>
      </w:pPr>
    </w:p>
    <w:p w14:paraId="02530E41" w14:textId="77777777" w:rsidR="00987B9C" w:rsidRDefault="00987B9C" w:rsidP="00EB7DB1">
      <w:pPr>
        <w:spacing w:line="480" w:lineRule="auto"/>
        <w:ind w:firstLine="720"/>
        <w:rPr>
          <w:rFonts w:ascii="Times New Roman" w:hAnsi="Times New Roman" w:cs="Times New Roman"/>
          <w:sz w:val="24"/>
          <w:szCs w:val="24"/>
        </w:rPr>
      </w:pPr>
    </w:p>
    <w:p w14:paraId="5D165434" w14:textId="77777777" w:rsidR="00987B9C" w:rsidRDefault="00987B9C" w:rsidP="00EB7DB1">
      <w:pPr>
        <w:spacing w:line="480" w:lineRule="auto"/>
        <w:ind w:firstLine="720"/>
        <w:rPr>
          <w:rFonts w:ascii="Times New Roman" w:hAnsi="Times New Roman" w:cs="Times New Roman"/>
          <w:sz w:val="24"/>
          <w:szCs w:val="24"/>
        </w:rPr>
      </w:pPr>
    </w:p>
    <w:p w14:paraId="3FE2C73C" w14:textId="77777777" w:rsidR="00987B9C" w:rsidRDefault="00987B9C" w:rsidP="00EB7DB1">
      <w:pPr>
        <w:spacing w:line="480" w:lineRule="auto"/>
        <w:ind w:firstLine="720"/>
        <w:rPr>
          <w:rFonts w:ascii="Times New Roman" w:hAnsi="Times New Roman" w:cs="Times New Roman"/>
          <w:sz w:val="24"/>
          <w:szCs w:val="24"/>
        </w:rPr>
      </w:pPr>
    </w:p>
    <w:p w14:paraId="40D7A34A" w14:textId="77777777" w:rsidR="00987B9C" w:rsidRDefault="00987B9C" w:rsidP="00EB7DB1">
      <w:pPr>
        <w:spacing w:line="480" w:lineRule="auto"/>
        <w:ind w:firstLine="720"/>
        <w:rPr>
          <w:rFonts w:ascii="Times New Roman" w:hAnsi="Times New Roman" w:cs="Times New Roman"/>
          <w:sz w:val="24"/>
          <w:szCs w:val="24"/>
        </w:rPr>
      </w:pPr>
    </w:p>
    <w:p w14:paraId="47151349" w14:textId="302683B4" w:rsidR="00987B9C" w:rsidRDefault="00987B9C" w:rsidP="00987B9C">
      <w:pPr>
        <w:spacing w:line="480" w:lineRule="auto"/>
        <w:ind w:firstLine="720"/>
        <w:jc w:val="center"/>
        <w:rPr>
          <w:rFonts w:ascii="Times New Roman" w:hAnsi="Times New Roman" w:cs="Times New Roman"/>
          <w:b/>
          <w:bCs/>
          <w:sz w:val="24"/>
          <w:szCs w:val="24"/>
        </w:rPr>
      </w:pPr>
      <w:r w:rsidRPr="00987B9C">
        <w:rPr>
          <w:rFonts w:ascii="Times New Roman" w:hAnsi="Times New Roman" w:cs="Times New Roman"/>
          <w:b/>
          <w:bCs/>
          <w:sz w:val="24"/>
          <w:szCs w:val="24"/>
        </w:rPr>
        <w:lastRenderedPageBreak/>
        <w:t>Sexual Harassment Case Study</w:t>
      </w:r>
    </w:p>
    <w:p w14:paraId="509750D4" w14:textId="0C925DA2" w:rsidR="000A376A" w:rsidRPr="00987B9C" w:rsidRDefault="000A376A" w:rsidP="00987B9C">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Description of the conduct </w:t>
      </w:r>
    </w:p>
    <w:p w14:paraId="26ACA494" w14:textId="661EBED4" w:rsidR="00EB7DB1" w:rsidRDefault="00EB7DB1" w:rsidP="00EB7DB1">
      <w:pPr>
        <w:spacing w:line="480" w:lineRule="auto"/>
        <w:ind w:firstLine="720"/>
        <w:rPr>
          <w:rFonts w:ascii="Times New Roman" w:hAnsi="Times New Roman" w:cs="Times New Roman"/>
          <w:sz w:val="24"/>
          <w:szCs w:val="24"/>
        </w:rPr>
      </w:pPr>
      <w:r w:rsidRPr="00EB7DB1">
        <w:rPr>
          <w:rFonts w:ascii="Times New Roman" w:hAnsi="Times New Roman" w:cs="Times New Roman"/>
          <w:sz w:val="24"/>
          <w:szCs w:val="24"/>
        </w:rPr>
        <w:t>Sexual harassment has been witnessed in the workplace in the past years. Laws have been implemented to help in dealing with sexual harassment cases in the workplace</w:t>
      </w:r>
      <w:r w:rsidR="00007C42">
        <w:rPr>
          <w:rFonts w:ascii="Times New Roman" w:hAnsi="Times New Roman" w:cs="Times New Roman"/>
          <w:sz w:val="24"/>
          <w:szCs w:val="24"/>
        </w:rPr>
        <w:t xml:space="preserve"> (</w:t>
      </w:r>
      <w:r w:rsidR="00007C42" w:rsidRPr="00BB7993">
        <w:rPr>
          <w:rFonts w:ascii="Times New Roman" w:hAnsi="Times New Roman" w:cs="Times New Roman"/>
          <w:sz w:val="24"/>
          <w:szCs w:val="24"/>
        </w:rPr>
        <w:t>Shaw, Hegewisch &amp; Hess</w:t>
      </w:r>
      <w:r w:rsidR="00007C42">
        <w:rPr>
          <w:rFonts w:ascii="Times New Roman" w:hAnsi="Times New Roman" w:cs="Times New Roman"/>
          <w:sz w:val="24"/>
          <w:szCs w:val="24"/>
        </w:rPr>
        <w:t>, 2018)</w:t>
      </w:r>
      <w:r w:rsidRPr="00EB7DB1">
        <w:rPr>
          <w:rFonts w:ascii="Times New Roman" w:hAnsi="Times New Roman" w:cs="Times New Roman"/>
          <w:sz w:val="24"/>
          <w:szCs w:val="24"/>
        </w:rPr>
        <w:t xml:space="preserve">. The selected case is Golding v Sippel and the Laundry Chute Pty Ltd 2021. The case </w:t>
      </w:r>
      <w:r w:rsidR="00A862E9">
        <w:rPr>
          <w:rFonts w:ascii="Times New Roman" w:hAnsi="Times New Roman" w:cs="Times New Roman"/>
          <w:sz w:val="24"/>
          <w:szCs w:val="24"/>
        </w:rPr>
        <w:t>involves</w:t>
      </w:r>
      <w:r w:rsidRPr="00EB7DB1">
        <w:rPr>
          <w:rFonts w:ascii="Times New Roman" w:hAnsi="Times New Roman" w:cs="Times New Roman"/>
          <w:sz w:val="24"/>
          <w:szCs w:val="24"/>
        </w:rPr>
        <w:t xml:space="preserve"> a woman working in a laundromat subjected to unwelcome conduct from her boss and work </w:t>
      </w:r>
      <w:r w:rsidR="009E7CFE">
        <w:rPr>
          <w:rFonts w:ascii="Times New Roman" w:hAnsi="Times New Roman" w:cs="Times New Roman"/>
          <w:sz w:val="24"/>
          <w:szCs w:val="24"/>
        </w:rPr>
        <w:t>concealed</w:t>
      </w:r>
      <w:r w:rsidRPr="00EB7DB1">
        <w:rPr>
          <w:rFonts w:ascii="Times New Roman" w:hAnsi="Times New Roman" w:cs="Times New Roman"/>
          <w:sz w:val="24"/>
          <w:szCs w:val="24"/>
        </w:rPr>
        <w:t xml:space="preserve"> from her after she rejected his advances. The sexual harassment reported involved inappropriate touching of the women's legs and bottom, </w:t>
      </w:r>
      <w:r w:rsidR="00A862E9">
        <w:rPr>
          <w:rFonts w:ascii="Times New Roman" w:hAnsi="Times New Roman" w:cs="Times New Roman"/>
          <w:sz w:val="24"/>
          <w:szCs w:val="24"/>
        </w:rPr>
        <w:t>forcing</w:t>
      </w:r>
      <w:r w:rsidRPr="00EB7DB1">
        <w:rPr>
          <w:rFonts w:ascii="Times New Roman" w:hAnsi="Times New Roman" w:cs="Times New Roman"/>
          <w:sz w:val="24"/>
          <w:szCs w:val="24"/>
        </w:rPr>
        <w:t xml:space="preserve"> the </w:t>
      </w:r>
      <w:r w:rsidR="009E7CFE">
        <w:rPr>
          <w:rFonts w:ascii="Times New Roman" w:hAnsi="Times New Roman" w:cs="Times New Roman"/>
          <w:sz w:val="24"/>
          <w:szCs w:val="24"/>
        </w:rPr>
        <w:t>victim</w:t>
      </w:r>
      <w:r w:rsidRPr="00EB7DB1">
        <w:rPr>
          <w:rFonts w:ascii="Times New Roman" w:hAnsi="Times New Roman" w:cs="Times New Roman"/>
          <w:sz w:val="24"/>
          <w:szCs w:val="24"/>
        </w:rPr>
        <w:t xml:space="preserve"> to touch the man's genital parts, frequent </w:t>
      </w:r>
      <w:r w:rsidR="007A4127">
        <w:rPr>
          <w:rFonts w:ascii="Times New Roman" w:hAnsi="Times New Roman" w:cs="Times New Roman"/>
          <w:sz w:val="24"/>
          <w:szCs w:val="24"/>
        </w:rPr>
        <w:t>sex requests</w:t>
      </w:r>
      <w:r w:rsidRPr="00EB7DB1">
        <w:rPr>
          <w:rFonts w:ascii="Times New Roman" w:hAnsi="Times New Roman" w:cs="Times New Roman"/>
          <w:sz w:val="24"/>
          <w:szCs w:val="24"/>
        </w:rPr>
        <w:t>, and explicit text messages</w:t>
      </w:r>
      <w:r w:rsidR="00F717F0">
        <w:rPr>
          <w:rFonts w:ascii="Times New Roman" w:hAnsi="Times New Roman" w:cs="Times New Roman"/>
          <w:sz w:val="24"/>
          <w:szCs w:val="24"/>
        </w:rPr>
        <w:t xml:space="preserve">. </w:t>
      </w:r>
      <w:r w:rsidRPr="00EB7DB1">
        <w:rPr>
          <w:rFonts w:ascii="Times New Roman" w:hAnsi="Times New Roman" w:cs="Times New Roman"/>
          <w:sz w:val="24"/>
          <w:szCs w:val="24"/>
        </w:rPr>
        <w:t xml:space="preserve">The case study relates to Title VII, which states that sexual harassment can be any </w:t>
      </w:r>
      <w:r w:rsidR="007A4127">
        <w:rPr>
          <w:rFonts w:ascii="Times New Roman" w:hAnsi="Times New Roman" w:cs="Times New Roman"/>
          <w:sz w:val="24"/>
          <w:szCs w:val="24"/>
        </w:rPr>
        <w:t xml:space="preserve">kind of </w:t>
      </w:r>
      <w:r w:rsidRPr="00EB7DB1">
        <w:rPr>
          <w:rFonts w:ascii="Times New Roman" w:hAnsi="Times New Roman" w:cs="Times New Roman"/>
          <w:sz w:val="24"/>
          <w:szCs w:val="24"/>
        </w:rPr>
        <w:t>unwelcome sexual advances, request for sexual favors, and any verbal or nonverbal conduct of any sexual nature in different situations in the workplace.</w:t>
      </w:r>
    </w:p>
    <w:p w14:paraId="448BC6F2" w14:textId="5912D0D9" w:rsidR="000A376A" w:rsidRPr="000A376A" w:rsidRDefault="000A376A" w:rsidP="000A376A">
      <w:pPr>
        <w:spacing w:line="480" w:lineRule="auto"/>
        <w:ind w:firstLine="720"/>
        <w:jc w:val="center"/>
        <w:rPr>
          <w:rFonts w:ascii="Times New Roman" w:hAnsi="Times New Roman" w:cs="Times New Roman"/>
          <w:b/>
          <w:bCs/>
          <w:sz w:val="24"/>
          <w:szCs w:val="24"/>
        </w:rPr>
      </w:pPr>
      <w:r w:rsidRPr="000A376A">
        <w:rPr>
          <w:rFonts w:ascii="Times New Roman" w:hAnsi="Times New Roman" w:cs="Times New Roman"/>
          <w:b/>
          <w:bCs/>
          <w:sz w:val="24"/>
          <w:szCs w:val="24"/>
        </w:rPr>
        <w:t>Complaint procedure</w:t>
      </w:r>
    </w:p>
    <w:p w14:paraId="48329589" w14:textId="41E2E947" w:rsidR="00EB7DB1" w:rsidRDefault="00EB7DB1" w:rsidP="00EB7DB1">
      <w:pPr>
        <w:spacing w:line="480" w:lineRule="auto"/>
        <w:ind w:firstLine="720"/>
        <w:rPr>
          <w:rFonts w:ascii="Times New Roman" w:hAnsi="Times New Roman" w:cs="Times New Roman"/>
          <w:sz w:val="24"/>
          <w:szCs w:val="24"/>
        </w:rPr>
      </w:pPr>
      <w:r w:rsidRPr="00EB7DB1">
        <w:rPr>
          <w:rFonts w:ascii="Times New Roman" w:hAnsi="Times New Roman" w:cs="Times New Roman"/>
          <w:sz w:val="24"/>
          <w:szCs w:val="24"/>
        </w:rPr>
        <w:t xml:space="preserve">The case followed the required sexual harassment reporting procedure. Ms. Golding, who is the primary complainant, filed a complaint with the anti-discrimination commission Queensland on the date December 2018 alleging sexual harassment and discrimination on the basis of sex. The complaint was then accepted. The matter was referred to the Queensland industrial relation commission. </w:t>
      </w:r>
      <w:r w:rsidR="00A862E9" w:rsidRPr="00EB7DB1">
        <w:rPr>
          <w:rFonts w:ascii="Times New Roman" w:hAnsi="Times New Roman" w:cs="Times New Roman"/>
          <w:sz w:val="24"/>
          <w:szCs w:val="24"/>
        </w:rPr>
        <w:t>M</w:t>
      </w:r>
      <w:r w:rsidR="00A862E9">
        <w:rPr>
          <w:rFonts w:ascii="Times New Roman" w:hAnsi="Times New Roman" w:cs="Times New Roman"/>
          <w:sz w:val="24"/>
          <w:szCs w:val="24"/>
        </w:rPr>
        <w:t>s.</w:t>
      </w:r>
      <w:r w:rsidRPr="00EB7DB1">
        <w:rPr>
          <w:rFonts w:ascii="Times New Roman" w:hAnsi="Times New Roman" w:cs="Times New Roman"/>
          <w:sz w:val="24"/>
          <w:szCs w:val="24"/>
        </w:rPr>
        <w:t xml:space="preserve"> Golding's complaint named two respondents who were her former owner and manager at the Laundromat and the company. The complaints statement of contentions and facts was filed in the register, which contained an additional claim of victimization. The legal tests were supposed to satisfy for the claims to succeed. </w:t>
      </w:r>
      <w:r w:rsidR="00080BFC">
        <w:rPr>
          <w:rFonts w:ascii="Times New Roman" w:hAnsi="Times New Roman" w:cs="Times New Roman"/>
          <w:sz w:val="24"/>
          <w:szCs w:val="24"/>
        </w:rPr>
        <w:t xml:space="preserve">According to </w:t>
      </w:r>
      <w:r w:rsidR="00080BFC">
        <w:rPr>
          <w:rFonts w:ascii="Times New Roman" w:hAnsi="Times New Roman" w:cs="Times New Roman"/>
          <w:sz w:val="24"/>
          <w:szCs w:val="24"/>
        </w:rPr>
        <w:t>Queensland Judgements</w:t>
      </w:r>
      <w:r w:rsidR="00080BFC" w:rsidRPr="00EB7DB1">
        <w:rPr>
          <w:rFonts w:ascii="Times New Roman" w:hAnsi="Times New Roman" w:cs="Times New Roman"/>
          <w:sz w:val="24"/>
          <w:szCs w:val="24"/>
        </w:rPr>
        <w:t xml:space="preserve"> </w:t>
      </w:r>
      <w:r w:rsidR="00080BFC">
        <w:rPr>
          <w:rFonts w:ascii="Times New Roman" w:hAnsi="Times New Roman" w:cs="Times New Roman"/>
          <w:sz w:val="24"/>
          <w:szCs w:val="24"/>
        </w:rPr>
        <w:t>(2021), i</w:t>
      </w:r>
      <w:r w:rsidRPr="00EB7DB1">
        <w:rPr>
          <w:rFonts w:ascii="Times New Roman" w:hAnsi="Times New Roman" w:cs="Times New Roman"/>
          <w:sz w:val="24"/>
          <w:szCs w:val="24"/>
        </w:rPr>
        <w:t xml:space="preserve">n relation to the circumstances submitted, a power of imbalance </w:t>
      </w:r>
      <w:r w:rsidRPr="00EB7DB1">
        <w:rPr>
          <w:rFonts w:ascii="Times New Roman" w:hAnsi="Times New Roman" w:cs="Times New Roman"/>
          <w:sz w:val="24"/>
          <w:szCs w:val="24"/>
        </w:rPr>
        <w:lastRenderedPageBreak/>
        <w:t>between Mr. Sippel and Ms. Golding went beyond the ordinary power of an employee and the employer. On the basis of discrimination, Ms. Golding's contentions that Mr. Sipplel has refused to offer her work since she had rejected his sexual advances. The complainant's and respondents' closing submissions were filled. The evidence provided by the witnesses and five exhibits tender hearings with the written submissions for each part</w:t>
      </w:r>
      <w:r w:rsidR="00A862E9">
        <w:rPr>
          <w:rFonts w:ascii="Times New Roman" w:hAnsi="Times New Roman" w:cs="Times New Roman"/>
          <w:sz w:val="24"/>
          <w:szCs w:val="24"/>
        </w:rPr>
        <w:t>y</w:t>
      </w:r>
      <w:r w:rsidRPr="00EB7DB1">
        <w:rPr>
          <w:rFonts w:ascii="Times New Roman" w:hAnsi="Times New Roman" w:cs="Times New Roman"/>
          <w:sz w:val="24"/>
          <w:szCs w:val="24"/>
        </w:rPr>
        <w:t xml:space="preserve"> were considered in the decision-making process. The case ruling stated that Ms. Golding had been sexually harassed as per the evidence provided.</w:t>
      </w:r>
    </w:p>
    <w:p w14:paraId="391C1778" w14:textId="4A7289C0" w:rsidR="000A376A" w:rsidRPr="000A376A" w:rsidRDefault="000A376A" w:rsidP="000A376A">
      <w:pPr>
        <w:spacing w:line="480" w:lineRule="auto"/>
        <w:ind w:firstLine="720"/>
        <w:jc w:val="center"/>
        <w:rPr>
          <w:rFonts w:ascii="Times New Roman" w:hAnsi="Times New Roman" w:cs="Times New Roman"/>
          <w:b/>
          <w:bCs/>
          <w:sz w:val="24"/>
          <w:szCs w:val="24"/>
        </w:rPr>
      </w:pPr>
      <w:r w:rsidRPr="000A376A">
        <w:rPr>
          <w:rFonts w:ascii="Times New Roman" w:hAnsi="Times New Roman" w:cs="Times New Roman"/>
          <w:b/>
          <w:bCs/>
          <w:sz w:val="24"/>
          <w:szCs w:val="24"/>
        </w:rPr>
        <w:t>Ways that could have prevented the harassment from occurring</w:t>
      </w:r>
    </w:p>
    <w:p w14:paraId="579F8574" w14:textId="271B5CF3" w:rsidR="00EB7DB1" w:rsidRDefault="00EB7DB1" w:rsidP="00EB7DB1">
      <w:pPr>
        <w:spacing w:line="480" w:lineRule="auto"/>
        <w:ind w:firstLine="720"/>
        <w:rPr>
          <w:rFonts w:ascii="Times New Roman" w:hAnsi="Times New Roman" w:cs="Times New Roman"/>
          <w:sz w:val="24"/>
          <w:szCs w:val="24"/>
        </w:rPr>
      </w:pPr>
      <w:r w:rsidRPr="00EB7DB1">
        <w:rPr>
          <w:rFonts w:ascii="Times New Roman" w:hAnsi="Times New Roman" w:cs="Times New Roman"/>
          <w:sz w:val="24"/>
          <w:szCs w:val="24"/>
        </w:rPr>
        <w:t>There are different strategies that could be implemented to prevent the sexual harassment case from occurring. The organization should have ensured that it effectively clarifies that sexual harassment prevention in the organization is a priority and, therefore, prevents employees from doing such practices. The management should also have ensured that they make it clear on the different a</w:t>
      </w:r>
      <w:r w:rsidR="00A862E9">
        <w:rPr>
          <w:rFonts w:ascii="Times New Roman" w:hAnsi="Times New Roman" w:cs="Times New Roman"/>
          <w:sz w:val="24"/>
          <w:szCs w:val="24"/>
        </w:rPr>
        <w:t>c</w:t>
      </w:r>
      <w:r w:rsidRPr="00EB7DB1">
        <w:rPr>
          <w:rFonts w:ascii="Times New Roman" w:hAnsi="Times New Roman" w:cs="Times New Roman"/>
          <w:sz w:val="24"/>
          <w:szCs w:val="24"/>
        </w:rPr>
        <w:t>ts that count as sexual harassment and the real meaning of sexual harassment</w:t>
      </w:r>
      <w:r w:rsidR="00A862E9">
        <w:rPr>
          <w:rFonts w:ascii="Times New Roman" w:hAnsi="Times New Roman" w:cs="Times New Roman"/>
          <w:sz w:val="24"/>
          <w:szCs w:val="24"/>
        </w:rPr>
        <w:t>. K</w:t>
      </w:r>
      <w:r w:rsidRPr="00EB7DB1">
        <w:rPr>
          <w:rFonts w:ascii="Times New Roman" w:hAnsi="Times New Roman" w:cs="Times New Roman"/>
          <w:sz w:val="24"/>
          <w:szCs w:val="24"/>
        </w:rPr>
        <w:t>nowing what sexual harassment is a step toward ensuring that employees avoid getting in such situations</w:t>
      </w:r>
      <w:r w:rsidR="00080BFC">
        <w:rPr>
          <w:rFonts w:ascii="Times New Roman" w:hAnsi="Times New Roman" w:cs="Times New Roman"/>
          <w:sz w:val="24"/>
          <w:szCs w:val="24"/>
        </w:rPr>
        <w:t xml:space="preserve"> (</w:t>
      </w:r>
      <w:r w:rsidR="00080BFC" w:rsidRPr="00BB7993">
        <w:rPr>
          <w:rFonts w:ascii="Times New Roman" w:hAnsi="Times New Roman" w:cs="Times New Roman"/>
          <w:sz w:val="24"/>
          <w:szCs w:val="24"/>
        </w:rPr>
        <w:t>Siuta</w:t>
      </w:r>
      <w:r w:rsidR="00080BFC">
        <w:rPr>
          <w:rFonts w:ascii="Times New Roman" w:hAnsi="Times New Roman" w:cs="Times New Roman"/>
          <w:sz w:val="24"/>
          <w:szCs w:val="24"/>
        </w:rPr>
        <w:t xml:space="preserve"> </w:t>
      </w:r>
      <w:r w:rsidR="00080BFC" w:rsidRPr="00BB7993">
        <w:rPr>
          <w:rFonts w:ascii="Times New Roman" w:hAnsi="Times New Roman" w:cs="Times New Roman"/>
          <w:sz w:val="24"/>
          <w:szCs w:val="24"/>
        </w:rPr>
        <w:t>&amp; Bergman</w:t>
      </w:r>
      <w:r w:rsidR="00080BFC">
        <w:rPr>
          <w:rFonts w:ascii="Times New Roman" w:hAnsi="Times New Roman" w:cs="Times New Roman"/>
          <w:sz w:val="24"/>
          <w:szCs w:val="24"/>
        </w:rPr>
        <w:t>, 201</w:t>
      </w:r>
      <w:r w:rsidR="00F717F0">
        <w:rPr>
          <w:rFonts w:ascii="Times New Roman" w:hAnsi="Times New Roman" w:cs="Times New Roman"/>
          <w:sz w:val="24"/>
          <w:szCs w:val="24"/>
        </w:rPr>
        <w:t>9</w:t>
      </w:r>
      <w:r w:rsidR="00080BFC">
        <w:rPr>
          <w:rFonts w:ascii="Times New Roman" w:hAnsi="Times New Roman" w:cs="Times New Roman"/>
          <w:sz w:val="24"/>
          <w:szCs w:val="24"/>
        </w:rPr>
        <w:t>)</w:t>
      </w:r>
      <w:r w:rsidRPr="00EB7DB1">
        <w:rPr>
          <w:rFonts w:ascii="Times New Roman" w:hAnsi="Times New Roman" w:cs="Times New Roman"/>
          <w:sz w:val="24"/>
          <w:szCs w:val="24"/>
        </w:rPr>
        <w:t xml:space="preserve">. The organization could have also ensured a harassment-free environment for their employees and other employees who wish to join the company. Some ways that the management can ensure a harassment-free environment include ensuring the interrupting of incidences of harassment or the warning signs, ensuring formal reporting of incidents, and encouraging others allyship. </w:t>
      </w:r>
    </w:p>
    <w:p w14:paraId="5FC993B8" w14:textId="12CAE846" w:rsidR="000A376A" w:rsidRPr="00EB7DB1" w:rsidRDefault="000A376A" w:rsidP="000A376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Cost incurred by the employer</w:t>
      </w:r>
    </w:p>
    <w:p w14:paraId="7BD26DB9" w14:textId="2525BC63" w:rsidR="00CA20A3" w:rsidRDefault="00EB7DB1" w:rsidP="00EB7DB1">
      <w:pPr>
        <w:spacing w:line="480" w:lineRule="auto"/>
        <w:ind w:firstLine="720"/>
        <w:rPr>
          <w:rFonts w:ascii="Times New Roman" w:hAnsi="Times New Roman" w:cs="Times New Roman"/>
          <w:sz w:val="24"/>
          <w:szCs w:val="24"/>
        </w:rPr>
      </w:pPr>
      <w:r w:rsidRPr="00EB7DB1">
        <w:rPr>
          <w:rFonts w:ascii="Times New Roman" w:hAnsi="Times New Roman" w:cs="Times New Roman"/>
          <w:sz w:val="24"/>
          <w:szCs w:val="24"/>
        </w:rPr>
        <w:t xml:space="preserve">When lawsuits are filed against a company or employer, there is a </w:t>
      </w:r>
      <w:r w:rsidR="00A862E9" w:rsidRPr="00EB7DB1">
        <w:rPr>
          <w:rFonts w:ascii="Times New Roman" w:hAnsi="Times New Roman" w:cs="Times New Roman"/>
          <w:sz w:val="24"/>
          <w:szCs w:val="24"/>
        </w:rPr>
        <w:t>likel</w:t>
      </w:r>
      <w:r w:rsidR="00A862E9">
        <w:rPr>
          <w:rFonts w:ascii="Times New Roman" w:hAnsi="Times New Roman" w:cs="Times New Roman"/>
          <w:sz w:val="24"/>
          <w:szCs w:val="24"/>
        </w:rPr>
        <w:t xml:space="preserve">y </w:t>
      </w:r>
      <w:r w:rsidR="00A862E9" w:rsidRPr="00EB7DB1">
        <w:rPr>
          <w:rFonts w:ascii="Times New Roman" w:hAnsi="Times New Roman" w:cs="Times New Roman"/>
          <w:sz w:val="24"/>
          <w:szCs w:val="24"/>
        </w:rPr>
        <w:t>hood</w:t>
      </w:r>
      <w:r w:rsidRPr="00EB7DB1">
        <w:rPr>
          <w:rFonts w:ascii="Times New Roman" w:hAnsi="Times New Roman" w:cs="Times New Roman"/>
          <w:sz w:val="24"/>
          <w:szCs w:val="24"/>
        </w:rPr>
        <w:t xml:space="preserve"> of some costs being incurred due to the lawsuits. There are different damages that were caused to Ms. </w:t>
      </w:r>
      <w:r w:rsidRPr="00EB7DB1">
        <w:rPr>
          <w:rFonts w:ascii="Times New Roman" w:hAnsi="Times New Roman" w:cs="Times New Roman"/>
          <w:sz w:val="24"/>
          <w:szCs w:val="24"/>
        </w:rPr>
        <w:lastRenderedPageBreak/>
        <w:t>Golding due to the action of Mr. Sippel</w:t>
      </w:r>
      <w:r w:rsidR="00A862E9">
        <w:rPr>
          <w:rFonts w:ascii="Times New Roman" w:hAnsi="Times New Roman" w:cs="Times New Roman"/>
          <w:sz w:val="24"/>
          <w:szCs w:val="24"/>
        </w:rPr>
        <w:t xml:space="preserve"> which are e</w:t>
      </w:r>
      <w:r w:rsidRPr="00EB7DB1">
        <w:rPr>
          <w:rFonts w:ascii="Times New Roman" w:hAnsi="Times New Roman" w:cs="Times New Roman"/>
          <w:sz w:val="24"/>
          <w:szCs w:val="24"/>
        </w:rPr>
        <w:t>conomic loss and other general damages. The court ordered the respondent to pay $15,960.75 for economic loss incurred in which the money was it be subjected to taxation, $30,000 for general damages, and $5,000 for aggravated damages</w:t>
      </w:r>
      <w:r w:rsidR="00A862E9">
        <w:rPr>
          <w:rFonts w:ascii="Times New Roman" w:hAnsi="Times New Roman" w:cs="Times New Roman"/>
          <w:sz w:val="24"/>
          <w:szCs w:val="24"/>
        </w:rPr>
        <w:t xml:space="preserve"> (</w:t>
      </w:r>
      <w:r w:rsidR="00A862E9">
        <w:rPr>
          <w:rFonts w:ascii="Times New Roman" w:hAnsi="Times New Roman" w:cs="Times New Roman"/>
          <w:sz w:val="24"/>
          <w:szCs w:val="24"/>
        </w:rPr>
        <w:t>Queensland Judgements</w:t>
      </w:r>
      <w:r w:rsidR="00A862E9">
        <w:rPr>
          <w:rFonts w:ascii="Times New Roman" w:hAnsi="Times New Roman" w:cs="Times New Roman"/>
          <w:sz w:val="24"/>
          <w:szCs w:val="24"/>
        </w:rPr>
        <w:t>, 2021)</w:t>
      </w:r>
      <w:r w:rsidRPr="00EB7DB1">
        <w:rPr>
          <w:rFonts w:ascii="Times New Roman" w:hAnsi="Times New Roman" w:cs="Times New Roman"/>
          <w:sz w:val="24"/>
          <w:szCs w:val="24"/>
        </w:rPr>
        <w:t xml:space="preserve">. Apart from the financial loss for the company, the reputation of the company was also at stake due to the lawsuit. All in all, due to the sexual harassment cases that have been witnessed in healthcare institutions, the organization should take the required measures to ensure that such incidents are avoided and effectively managed when they occur. </w:t>
      </w:r>
      <w:r w:rsidR="00683882">
        <w:rPr>
          <w:rFonts w:ascii="Times New Roman" w:hAnsi="Times New Roman" w:cs="Times New Roman"/>
          <w:sz w:val="24"/>
          <w:szCs w:val="24"/>
        </w:rPr>
        <w:t xml:space="preserve"> </w:t>
      </w:r>
    </w:p>
    <w:p w14:paraId="75407EFD" w14:textId="77777777" w:rsidR="00987B9C" w:rsidRDefault="00987B9C" w:rsidP="00EB7DB1">
      <w:pPr>
        <w:spacing w:line="480" w:lineRule="auto"/>
        <w:ind w:firstLine="720"/>
        <w:rPr>
          <w:rFonts w:ascii="Times New Roman" w:hAnsi="Times New Roman" w:cs="Times New Roman"/>
          <w:sz w:val="24"/>
          <w:szCs w:val="24"/>
        </w:rPr>
      </w:pPr>
    </w:p>
    <w:p w14:paraId="0BE3BBFB" w14:textId="77777777" w:rsidR="000A376A" w:rsidRDefault="000A376A" w:rsidP="00987B9C">
      <w:pPr>
        <w:spacing w:line="480" w:lineRule="auto"/>
        <w:ind w:firstLine="720"/>
        <w:jc w:val="center"/>
        <w:rPr>
          <w:rFonts w:ascii="Times New Roman" w:hAnsi="Times New Roman" w:cs="Times New Roman"/>
          <w:b/>
          <w:bCs/>
          <w:sz w:val="24"/>
          <w:szCs w:val="24"/>
        </w:rPr>
      </w:pPr>
    </w:p>
    <w:p w14:paraId="707D6450" w14:textId="77777777" w:rsidR="000A376A" w:rsidRDefault="000A376A" w:rsidP="00987B9C">
      <w:pPr>
        <w:spacing w:line="480" w:lineRule="auto"/>
        <w:ind w:firstLine="720"/>
        <w:jc w:val="center"/>
        <w:rPr>
          <w:rFonts w:ascii="Times New Roman" w:hAnsi="Times New Roman" w:cs="Times New Roman"/>
          <w:b/>
          <w:bCs/>
          <w:sz w:val="24"/>
          <w:szCs w:val="24"/>
        </w:rPr>
      </w:pPr>
    </w:p>
    <w:p w14:paraId="294597EF" w14:textId="77777777" w:rsidR="000A376A" w:rsidRDefault="000A376A" w:rsidP="00987B9C">
      <w:pPr>
        <w:spacing w:line="480" w:lineRule="auto"/>
        <w:ind w:firstLine="720"/>
        <w:jc w:val="center"/>
        <w:rPr>
          <w:rFonts w:ascii="Times New Roman" w:hAnsi="Times New Roman" w:cs="Times New Roman"/>
          <w:b/>
          <w:bCs/>
          <w:sz w:val="24"/>
          <w:szCs w:val="24"/>
        </w:rPr>
      </w:pPr>
    </w:p>
    <w:p w14:paraId="225A6888" w14:textId="77777777" w:rsidR="000A376A" w:rsidRDefault="000A376A" w:rsidP="00987B9C">
      <w:pPr>
        <w:spacing w:line="480" w:lineRule="auto"/>
        <w:ind w:firstLine="720"/>
        <w:jc w:val="center"/>
        <w:rPr>
          <w:rFonts w:ascii="Times New Roman" w:hAnsi="Times New Roman" w:cs="Times New Roman"/>
          <w:b/>
          <w:bCs/>
          <w:sz w:val="24"/>
          <w:szCs w:val="24"/>
        </w:rPr>
      </w:pPr>
    </w:p>
    <w:p w14:paraId="3280B2A6" w14:textId="77777777" w:rsidR="000A376A" w:rsidRDefault="000A376A" w:rsidP="00987B9C">
      <w:pPr>
        <w:spacing w:line="480" w:lineRule="auto"/>
        <w:ind w:firstLine="720"/>
        <w:jc w:val="center"/>
        <w:rPr>
          <w:rFonts w:ascii="Times New Roman" w:hAnsi="Times New Roman" w:cs="Times New Roman"/>
          <w:b/>
          <w:bCs/>
          <w:sz w:val="24"/>
          <w:szCs w:val="24"/>
        </w:rPr>
      </w:pPr>
    </w:p>
    <w:p w14:paraId="08DBC800" w14:textId="77777777" w:rsidR="000A376A" w:rsidRDefault="000A376A" w:rsidP="00987B9C">
      <w:pPr>
        <w:spacing w:line="480" w:lineRule="auto"/>
        <w:ind w:firstLine="720"/>
        <w:jc w:val="center"/>
        <w:rPr>
          <w:rFonts w:ascii="Times New Roman" w:hAnsi="Times New Roman" w:cs="Times New Roman"/>
          <w:b/>
          <w:bCs/>
          <w:sz w:val="24"/>
          <w:szCs w:val="24"/>
        </w:rPr>
      </w:pPr>
    </w:p>
    <w:p w14:paraId="3F8204B2" w14:textId="77777777" w:rsidR="000A376A" w:rsidRDefault="000A376A" w:rsidP="00987B9C">
      <w:pPr>
        <w:spacing w:line="480" w:lineRule="auto"/>
        <w:ind w:firstLine="720"/>
        <w:jc w:val="center"/>
        <w:rPr>
          <w:rFonts w:ascii="Times New Roman" w:hAnsi="Times New Roman" w:cs="Times New Roman"/>
          <w:b/>
          <w:bCs/>
          <w:sz w:val="24"/>
          <w:szCs w:val="24"/>
        </w:rPr>
      </w:pPr>
    </w:p>
    <w:p w14:paraId="2D9F6A92" w14:textId="77777777" w:rsidR="000A376A" w:rsidRDefault="000A376A" w:rsidP="00987B9C">
      <w:pPr>
        <w:spacing w:line="480" w:lineRule="auto"/>
        <w:ind w:firstLine="720"/>
        <w:jc w:val="center"/>
        <w:rPr>
          <w:rFonts w:ascii="Times New Roman" w:hAnsi="Times New Roman" w:cs="Times New Roman"/>
          <w:b/>
          <w:bCs/>
          <w:sz w:val="24"/>
          <w:szCs w:val="24"/>
        </w:rPr>
      </w:pPr>
    </w:p>
    <w:p w14:paraId="34537DC3" w14:textId="77777777" w:rsidR="000A376A" w:rsidRDefault="000A376A" w:rsidP="00987B9C">
      <w:pPr>
        <w:spacing w:line="480" w:lineRule="auto"/>
        <w:ind w:firstLine="720"/>
        <w:jc w:val="center"/>
        <w:rPr>
          <w:rFonts w:ascii="Times New Roman" w:hAnsi="Times New Roman" w:cs="Times New Roman"/>
          <w:b/>
          <w:bCs/>
          <w:sz w:val="24"/>
          <w:szCs w:val="24"/>
        </w:rPr>
      </w:pPr>
    </w:p>
    <w:p w14:paraId="311774BC" w14:textId="77777777" w:rsidR="000A376A" w:rsidRDefault="000A376A" w:rsidP="00987B9C">
      <w:pPr>
        <w:spacing w:line="480" w:lineRule="auto"/>
        <w:ind w:firstLine="720"/>
        <w:jc w:val="center"/>
        <w:rPr>
          <w:rFonts w:ascii="Times New Roman" w:hAnsi="Times New Roman" w:cs="Times New Roman"/>
          <w:b/>
          <w:bCs/>
          <w:sz w:val="24"/>
          <w:szCs w:val="24"/>
        </w:rPr>
      </w:pPr>
    </w:p>
    <w:p w14:paraId="73BE197F" w14:textId="77777777" w:rsidR="000A376A" w:rsidRDefault="000A376A" w:rsidP="00987B9C">
      <w:pPr>
        <w:spacing w:line="480" w:lineRule="auto"/>
        <w:ind w:firstLine="720"/>
        <w:jc w:val="center"/>
        <w:rPr>
          <w:rFonts w:ascii="Times New Roman" w:hAnsi="Times New Roman" w:cs="Times New Roman"/>
          <w:b/>
          <w:bCs/>
          <w:sz w:val="24"/>
          <w:szCs w:val="24"/>
        </w:rPr>
      </w:pPr>
    </w:p>
    <w:p w14:paraId="14FFB73D" w14:textId="77777777" w:rsidR="000A376A" w:rsidRDefault="000A376A" w:rsidP="00987B9C">
      <w:pPr>
        <w:spacing w:line="480" w:lineRule="auto"/>
        <w:ind w:firstLine="720"/>
        <w:jc w:val="center"/>
        <w:rPr>
          <w:rFonts w:ascii="Times New Roman" w:hAnsi="Times New Roman" w:cs="Times New Roman"/>
          <w:b/>
          <w:bCs/>
          <w:sz w:val="24"/>
          <w:szCs w:val="24"/>
        </w:rPr>
      </w:pPr>
    </w:p>
    <w:p w14:paraId="57A8BA41" w14:textId="5EE51266" w:rsidR="00BB7993" w:rsidRPr="00987B9C" w:rsidRDefault="00BB7993" w:rsidP="00987B9C">
      <w:pPr>
        <w:spacing w:line="480" w:lineRule="auto"/>
        <w:ind w:firstLine="720"/>
        <w:jc w:val="center"/>
        <w:rPr>
          <w:rFonts w:ascii="Times New Roman" w:hAnsi="Times New Roman" w:cs="Times New Roman"/>
          <w:b/>
          <w:bCs/>
          <w:sz w:val="24"/>
          <w:szCs w:val="24"/>
        </w:rPr>
      </w:pPr>
      <w:r w:rsidRPr="00987B9C">
        <w:rPr>
          <w:rFonts w:ascii="Times New Roman" w:hAnsi="Times New Roman" w:cs="Times New Roman"/>
          <w:b/>
          <w:bCs/>
          <w:sz w:val="24"/>
          <w:szCs w:val="24"/>
        </w:rPr>
        <w:lastRenderedPageBreak/>
        <w:t>References</w:t>
      </w:r>
    </w:p>
    <w:p w14:paraId="78AA4133" w14:textId="77777777" w:rsidR="00A862E9" w:rsidRDefault="00A862E9" w:rsidP="00A862E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Queensland Judgements. (2021). </w:t>
      </w:r>
      <w:r w:rsidRPr="00BB7993">
        <w:rPr>
          <w:rFonts w:ascii="Times New Roman" w:hAnsi="Times New Roman" w:cs="Times New Roman"/>
          <w:sz w:val="24"/>
          <w:szCs w:val="24"/>
        </w:rPr>
        <w:t xml:space="preserve">Golding v Sippel and The Laundry Chute Pty </w:t>
      </w:r>
      <w:proofErr w:type="gramStart"/>
      <w:r w:rsidRPr="00BB7993">
        <w:rPr>
          <w:rFonts w:ascii="Times New Roman" w:hAnsi="Times New Roman" w:cs="Times New Roman"/>
          <w:sz w:val="24"/>
          <w:szCs w:val="24"/>
        </w:rPr>
        <w:t>Ltd[</w:t>
      </w:r>
      <w:proofErr w:type="gramEnd"/>
      <w:r w:rsidRPr="00BB7993">
        <w:rPr>
          <w:rFonts w:ascii="Times New Roman" w:hAnsi="Times New Roman" w:cs="Times New Roman"/>
          <w:sz w:val="24"/>
          <w:szCs w:val="24"/>
        </w:rPr>
        <w:t>2021] QIRC 74</w:t>
      </w:r>
      <w:r>
        <w:rPr>
          <w:rFonts w:ascii="Times New Roman" w:hAnsi="Times New Roman" w:cs="Times New Roman"/>
          <w:sz w:val="24"/>
          <w:szCs w:val="24"/>
        </w:rPr>
        <w:t xml:space="preserve">. Retrieved from </w:t>
      </w:r>
      <w:hyperlink r:id="rId6" w:history="1">
        <w:r w:rsidRPr="00751E73">
          <w:rPr>
            <w:rStyle w:val="Hyperlink"/>
            <w:rFonts w:ascii="Times New Roman" w:hAnsi="Times New Roman" w:cs="Times New Roman"/>
            <w:sz w:val="24"/>
            <w:szCs w:val="24"/>
          </w:rPr>
          <w:t>https://www.queenslandjudgments.com.au/caselaw/qirc/2021/74</w:t>
        </w:r>
      </w:hyperlink>
    </w:p>
    <w:p w14:paraId="36942854" w14:textId="77777777" w:rsidR="00A862E9" w:rsidRPr="00886D56" w:rsidRDefault="00A862E9" w:rsidP="00A862E9">
      <w:pPr>
        <w:spacing w:line="480" w:lineRule="auto"/>
        <w:ind w:left="720" w:hanging="720"/>
        <w:rPr>
          <w:rFonts w:ascii="Times New Roman" w:hAnsi="Times New Roman" w:cs="Times New Roman"/>
          <w:sz w:val="24"/>
          <w:szCs w:val="24"/>
        </w:rPr>
      </w:pPr>
      <w:r w:rsidRPr="00BB7993">
        <w:rPr>
          <w:rFonts w:ascii="Times New Roman" w:hAnsi="Times New Roman" w:cs="Times New Roman"/>
          <w:sz w:val="24"/>
          <w:szCs w:val="24"/>
        </w:rPr>
        <w:t>Shaw, E., Hegewisch, A., &amp; Hess, C. (2018). Sexual harassment and assault at work: understanding the costs. Institute for Women’s Policy Research Publication, IWPR B, 376.</w:t>
      </w:r>
    </w:p>
    <w:p w14:paraId="6CDC0072" w14:textId="77777777" w:rsidR="00A862E9" w:rsidRDefault="00A862E9" w:rsidP="00A862E9">
      <w:pPr>
        <w:spacing w:line="480" w:lineRule="auto"/>
        <w:ind w:left="720" w:hanging="720"/>
        <w:rPr>
          <w:rFonts w:ascii="Times New Roman" w:hAnsi="Times New Roman" w:cs="Times New Roman"/>
          <w:sz w:val="24"/>
          <w:szCs w:val="24"/>
        </w:rPr>
      </w:pPr>
      <w:r w:rsidRPr="00BB7993">
        <w:rPr>
          <w:rFonts w:ascii="Times New Roman" w:hAnsi="Times New Roman" w:cs="Times New Roman"/>
          <w:sz w:val="24"/>
          <w:szCs w:val="24"/>
        </w:rPr>
        <w:t>Siuta, R. L., &amp; Bergman, M. E. (2019). Sexual harassment in the workplace. In Oxford Research Encyclopedia of Business and Management.</w:t>
      </w:r>
    </w:p>
    <w:sectPr w:rsidR="00A862E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BB8E" w14:textId="77777777" w:rsidR="00D279F9" w:rsidRDefault="00D279F9" w:rsidP="00987B9C">
      <w:pPr>
        <w:spacing w:after="0" w:line="240" w:lineRule="auto"/>
      </w:pPr>
      <w:r>
        <w:separator/>
      </w:r>
    </w:p>
  </w:endnote>
  <w:endnote w:type="continuationSeparator" w:id="0">
    <w:p w14:paraId="2FBB452B" w14:textId="77777777" w:rsidR="00D279F9" w:rsidRDefault="00D279F9" w:rsidP="00987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5749" w14:textId="77777777" w:rsidR="00D279F9" w:rsidRDefault="00D279F9" w:rsidP="00987B9C">
      <w:pPr>
        <w:spacing w:after="0" w:line="240" w:lineRule="auto"/>
      </w:pPr>
      <w:r>
        <w:separator/>
      </w:r>
    </w:p>
  </w:footnote>
  <w:footnote w:type="continuationSeparator" w:id="0">
    <w:p w14:paraId="2E048608" w14:textId="77777777" w:rsidR="00D279F9" w:rsidRDefault="00D279F9" w:rsidP="00987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451803"/>
      <w:docPartObj>
        <w:docPartGallery w:val="Page Numbers (Top of Page)"/>
        <w:docPartUnique/>
      </w:docPartObj>
    </w:sdtPr>
    <w:sdtEndPr>
      <w:rPr>
        <w:rFonts w:ascii="Times New Roman" w:hAnsi="Times New Roman" w:cs="Times New Roman"/>
        <w:noProof/>
        <w:sz w:val="24"/>
        <w:szCs w:val="24"/>
      </w:rPr>
    </w:sdtEndPr>
    <w:sdtContent>
      <w:p w14:paraId="2AB53F5B" w14:textId="375EB663" w:rsidR="00987B9C" w:rsidRPr="00987B9C" w:rsidRDefault="00987B9C">
        <w:pPr>
          <w:pStyle w:val="Header"/>
          <w:jc w:val="right"/>
          <w:rPr>
            <w:rFonts w:ascii="Times New Roman" w:hAnsi="Times New Roman" w:cs="Times New Roman"/>
            <w:sz w:val="24"/>
            <w:szCs w:val="24"/>
          </w:rPr>
        </w:pPr>
        <w:r w:rsidRPr="00987B9C">
          <w:rPr>
            <w:rFonts w:ascii="Times New Roman" w:hAnsi="Times New Roman" w:cs="Times New Roman"/>
            <w:sz w:val="24"/>
            <w:szCs w:val="24"/>
          </w:rPr>
          <w:fldChar w:fldCharType="begin"/>
        </w:r>
        <w:r w:rsidRPr="00987B9C">
          <w:rPr>
            <w:rFonts w:ascii="Times New Roman" w:hAnsi="Times New Roman" w:cs="Times New Roman"/>
            <w:sz w:val="24"/>
            <w:szCs w:val="24"/>
          </w:rPr>
          <w:instrText xml:space="preserve"> PAGE   \* MERGEFORMAT </w:instrText>
        </w:r>
        <w:r w:rsidRPr="00987B9C">
          <w:rPr>
            <w:rFonts w:ascii="Times New Roman" w:hAnsi="Times New Roman" w:cs="Times New Roman"/>
            <w:sz w:val="24"/>
            <w:szCs w:val="24"/>
          </w:rPr>
          <w:fldChar w:fldCharType="separate"/>
        </w:r>
        <w:r w:rsidRPr="00987B9C">
          <w:rPr>
            <w:rFonts w:ascii="Times New Roman" w:hAnsi="Times New Roman" w:cs="Times New Roman"/>
            <w:noProof/>
            <w:sz w:val="24"/>
            <w:szCs w:val="24"/>
          </w:rPr>
          <w:t>2</w:t>
        </w:r>
        <w:r w:rsidRPr="00987B9C">
          <w:rPr>
            <w:rFonts w:ascii="Times New Roman" w:hAnsi="Times New Roman" w:cs="Times New Roman"/>
            <w:noProof/>
            <w:sz w:val="24"/>
            <w:szCs w:val="24"/>
          </w:rPr>
          <w:fldChar w:fldCharType="end"/>
        </w:r>
      </w:p>
    </w:sdtContent>
  </w:sdt>
  <w:p w14:paraId="439C97AA" w14:textId="77777777" w:rsidR="00987B9C" w:rsidRDefault="00987B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D56"/>
    <w:rsid w:val="00007C42"/>
    <w:rsid w:val="00080BFC"/>
    <w:rsid w:val="000A376A"/>
    <w:rsid w:val="00144A45"/>
    <w:rsid w:val="0026675B"/>
    <w:rsid w:val="002B73B8"/>
    <w:rsid w:val="003E12B9"/>
    <w:rsid w:val="003F2FCA"/>
    <w:rsid w:val="00630F0D"/>
    <w:rsid w:val="00683882"/>
    <w:rsid w:val="006C4C3A"/>
    <w:rsid w:val="007A4127"/>
    <w:rsid w:val="00886D56"/>
    <w:rsid w:val="009252F2"/>
    <w:rsid w:val="00987B9C"/>
    <w:rsid w:val="009E7CFE"/>
    <w:rsid w:val="00A862E9"/>
    <w:rsid w:val="00AC486A"/>
    <w:rsid w:val="00B11AE0"/>
    <w:rsid w:val="00B4605E"/>
    <w:rsid w:val="00B76213"/>
    <w:rsid w:val="00BB7993"/>
    <w:rsid w:val="00CA20A3"/>
    <w:rsid w:val="00CD4227"/>
    <w:rsid w:val="00D279F9"/>
    <w:rsid w:val="00D437B2"/>
    <w:rsid w:val="00D478C4"/>
    <w:rsid w:val="00DB0DB7"/>
    <w:rsid w:val="00EB7DB1"/>
    <w:rsid w:val="00F717F0"/>
    <w:rsid w:val="00FC19EA"/>
    <w:rsid w:val="00FE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AAA6"/>
  <w15:docId w15:val="{6F1D0816-7857-4DD6-A7A0-310BACBA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sename-v2">
    <w:name w:val="casename-v2"/>
    <w:basedOn w:val="DefaultParagraphFont"/>
    <w:rsid w:val="00BB7993"/>
  </w:style>
  <w:style w:type="character" w:customStyle="1" w:styleId="citation-v2">
    <w:name w:val="citation-v2"/>
    <w:basedOn w:val="DefaultParagraphFont"/>
    <w:rsid w:val="00BB7993"/>
  </w:style>
  <w:style w:type="character" w:styleId="Hyperlink">
    <w:name w:val="Hyperlink"/>
    <w:basedOn w:val="DefaultParagraphFont"/>
    <w:uiPriority w:val="99"/>
    <w:unhideWhenUsed/>
    <w:rsid w:val="00BB7993"/>
    <w:rPr>
      <w:color w:val="0563C1" w:themeColor="hyperlink"/>
      <w:u w:val="single"/>
    </w:rPr>
  </w:style>
  <w:style w:type="character" w:styleId="UnresolvedMention">
    <w:name w:val="Unresolved Mention"/>
    <w:basedOn w:val="DefaultParagraphFont"/>
    <w:uiPriority w:val="99"/>
    <w:semiHidden/>
    <w:unhideWhenUsed/>
    <w:rsid w:val="00BB7993"/>
    <w:rPr>
      <w:color w:val="605E5C"/>
      <w:shd w:val="clear" w:color="auto" w:fill="E1DFDD"/>
    </w:rPr>
  </w:style>
  <w:style w:type="paragraph" w:styleId="Header">
    <w:name w:val="header"/>
    <w:basedOn w:val="Normal"/>
    <w:link w:val="HeaderChar"/>
    <w:uiPriority w:val="99"/>
    <w:unhideWhenUsed/>
    <w:rsid w:val="00987B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B9C"/>
  </w:style>
  <w:style w:type="paragraph" w:styleId="Footer">
    <w:name w:val="footer"/>
    <w:basedOn w:val="Normal"/>
    <w:link w:val="FooterChar"/>
    <w:uiPriority w:val="99"/>
    <w:unhideWhenUsed/>
    <w:rsid w:val="00987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queenslandjudgments.com.au/caselaw/qirc/2021/7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5</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felister makenga</dc:creator>
  <cp:keywords/>
  <dc:description/>
  <cp:lastModifiedBy>felister makenga</cp:lastModifiedBy>
  <cp:revision>18</cp:revision>
  <dcterms:created xsi:type="dcterms:W3CDTF">2021-09-17T08:05:00Z</dcterms:created>
  <dcterms:modified xsi:type="dcterms:W3CDTF">2021-09-17T14:27:00Z</dcterms:modified>
</cp:coreProperties>
</file>